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28.03.2022 №28.</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Система управления спасательными работами в зоне ЧС</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«Система управления спасательными работами в зоне ЧС»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«Система управления спасательными работами в зоне ЧС».</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«Система управления спасательными работами в зоне ЧС»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обеспечения аварийно-спасательной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понятие аварийно-спасательной деятельности и ее задачи, системы управления спасательными работами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основы организации и проведения аварийно-спасательных и других неотложных работ</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организацию, технологию, методы и способы ведения спасательных  работ при различных чрезвычайных ситуациях, прогнозирования опасных факторов пожара в системе управления спасательными работами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знать способы проведения аварийно-спасательных работ; параметры рабочего оборудования и типы аварийно-спасательного оборудования для производства спасательных работ в системе управления спасательными работами в зоне чрезвычайных ситуаций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знать виды и порядок действий аварийно-спасательных служб</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организовать работу по проведению аварийно-спасательных работ с использованием новейших инженерных разработок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уметь анализировать, оценивать обстановку и принимать решения в области защиты от чрезвычайных ситуаций в объеме занимаемой должности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уметь принимать решения, организовывать и руководить аварийно- спасательными работами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методиками определения суммарного времени спасательной операции по спасанию людей из мест их сосредоточения при помощи средств спасания в системе управления спасательными работами в зоне чрезвычайных ситуаций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основами организации и проведения аварийно-спасательных и других неотложных работ в системе управления спасательными работами в зоне чрезвычайных ситуаций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ПК-4.29 владеть технологиями проведения аварийно-спасательных работ при различных чрезвычайных ситуациях в системе управления спасательными работами в зоне чрезвычайных ситуаций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ПК-4.32 владеть навыками выбора параметров рабочего оборудования и типы аварийно- спасательного оборудования для производства спасательных работ</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ПК-4.33 владеть навыками анализа, оценки обстановки и принятия решения в области защиты от чрезвычайных ситуаций в объеме занимаемой должности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ПК-4.34 владеть навыками выбора способов проведения аварийно-спасательных работ</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ПК-4.35 владеть навыками организации работы по обеспечению защиты населения, национального достояния, предупреждению и ликвидации чрезвычайных ситуаций, ведению аварийно-спасательных работ</w:t>
            </w:r>
          </w:p>
        </w:tc>
      </w:tr>
      <w:tr>
        <w:trPr>
          <w:trHeight w:hRule="exact" w:val="277.8301"/>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«Система управления спасательными работами в зоне ЧС» относится к обязательной части, является дисциплиной Блока Б1. «Дисциплины (модули)». Модуль "Организация аварийно-спасательной 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Государственный пожарный надзор</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Информационно-методическое обеспечение надзорной деятельности МЧС России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ЧРЕЗВЫЧАЙНЫЕ СИТУАЦИИ ПРИРОДНОГО И ТЕХНОГЕННОГО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СТРУКТУРА И ВОЗМОЖНОСТИ АВАРИЙНО-СПАСАТЕЛЬНЫХ СЛУЖБ И СПАСАТЕЛЬНЫХ ФОРМИРОВАНИЙ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АЭРОМОБИЛЬНЫЕ ГРУППИРОВКИ МЧС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АВИАЦИЯ И АВИАЦИОННО- СПАСАТЕЛЬНЫЕ ТЕХНОЛОГИИ МЧС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ОПЕРАТИВНОГО (ЭКСТРЕННОГО) РЕАГИРОВАНИЯ И ПРОВЕДЕНИЯ АВАРИЙНО-СПАСАТЕЛЬНЫХ И ДРУГИХ НЕОТЛОЖНЫХ РАБОТ ПРИ ЛИКВИДАЦИИ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ОХРАНА ТРУДА В ПОДРАЗДЕЛЕНИЯХ ПОЖАРНО-СПАСАТЕЛЬНОГО ГАРНИЗОНА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Тема7. УПРАВЛЕНИЕ СИЛАМИ И СРЕДСТВАМИ ЛИКВИДАЦИИ ЧРЕЗВЫЧАЙНЫХ СИТУАЦИЙ ПРИ ПРОВЕДЕНИИ АВАРИЙНО- СПАСАТЕЛЬНЫХ И ДРУГИХ НЕОТЛОЖНЫХ РАБОТ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ВЫДВИЖЕНИЕ СИЛ РСЧС В ЗОНУ ЧРЕЗВЫЧАЙНОЙ СИТУАЦИИ И РАСПОЛОЖЕНИЕ ИХ НА МЕСТЕ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3307.94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ЧРЕЗВЫЧАЙНЫЕ СИТУАЦИИ ПРИРОДНОГО И ТЕХНОГЕННОГО ХАРАКТЕРА.</w:t>
            </w:r>
          </w:p>
        </w:tc>
      </w:tr>
      <w:tr>
        <w:trPr>
          <w:trHeight w:hRule="exact" w:val="558.3066"/>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чрезвычайных ситуаций природного и техногенного характера.</w:t>
            </w:r>
          </w:p>
          <w:p>
            <w:pPr>
              <w:jc w:val="both"/>
              <w:spacing w:after="0" w:line="240" w:lineRule="auto"/>
              <w:rPr>
                <w:sz w:val="24"/>
                <w:szCs w:val="24"/>
              </w:rPr>
            </w:pPr>
            <w:r>
              <w:rPr>
                <w:rFonts w:ascii="Times New Roman" w:hAnsi="Times New Roman" w:cs="Times New Roman"/>
                <w:color w:val="#000000"/>
                <w:sz w:val="24"/>
                <w:szCs w:val="24"/>
              </w:rPr>
              <w:t> Источники чрезвычайных ситуаций природного характера</w:t>
            </w:r>
          </w:p>
          <w:p>
            <w:pPr>
              <w:jc w:val="both"/>
              <w:spacing w:after="0" w:line="240" w:lineRule="auto"/>
              <w:rPr>
                <w:sz w:val="24"/>
                <w:szCs w:val="24"/>
              </w:rPr>
            </w:pPr>
            <w:r>
              <w:rPr>
                <w:rFonts w:ascii="Times New Roman" w:hAnsi="Times New Roman" w:cs="Times New Roman"/>
                <w:color w:val="#000000"/>
                <w:sz w:val="24"/>
                <w:szCs w:val="24"/>
              </w:rPr>
              <w:t> Источники чрезвычайных ситуаций техногенного характера</w:t>
            </w:r>
          </w:p>
          <w:p>
            <w:pPr>
              <w:jc w:val="both"/>
              <w:spacing w:after="0" w:line="240" w:lineRule="auto"/>
              <w:rPr>
                <w:sz w:val="24"/>
                <w:szCs w:val="24"/>
              </w:rPr>
            </w:pPr>
            <w:r>
              <w:rPr>
                <w:rFonts w:ascii="Times New Roman" w:hAnsi="Times New Roman" w:cs="Times New Roman"/>
                <w:color w:val="#000000"/>
                <w:sz w:val="24"/>
                <w:szCs w:val="24"/>
              </w:rPr>
              <w:t> Источники чрезвычайных ситуаций биолого-социального характера</w:t>
            </w:r>
          </w:p>
          <w:p>
            <w:pPr>
              <w:jc w:val="both"/>
              <w:spacing w:after="0" w:line="240" w:lineRule="auto"/>
              <w:rPr>
                <w:sz w:val="24"/>
                <w:szCs w:val="24"/>
              </w:rPr>
            </w:pPr>
            <w:r>
              <w:rPr>
                <w:rFonts w:ascii="Times New Roman" w:hAnsi="Times New Roman" w:cs="Times New Roman"/>
                <w:color w:val="#000000"/>
                <w:sz w:val="24"/>
                <w:szCs w:val="24"/>
              </w:rPr>
              <w:t> Ущерб от чрезвычайных ситуаций природного и техногенного характера</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СТРУКТУРА И ВОЗМОЖНОСТИ АВАРИЙНО-СПАСАТЕЛЬНЫХ СЛУЖБ И СПАСАТЕЛЬНЫХ ФОРМИРОВАНИЙ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и возможности профессиональных аварийно-спасательных формирований</w:t>
            </w:r>
          </w:p>
          <w:p>
            <w:pPr>
              <w:jc w:val="both"/>
              <w:spacing w:after="0" w:line="240" w:lineRule="auto"/>
              <w:rPr>
                <w:sz w:val="24"/>
                <w:szCs w:val="24"/>
              </w:rPr>
            </w:pPr>
            <w:r>
              <w:rPr>
                <w:rFonts w:ascii="Times New Roman" w:hAnsi="Times New Roman" w:cs="Times New Roman"/>
                <w:color w:val="#000000"/>
                <w:sz w:val="24"/>
                <w:szCs w:val="24"/>
              </w:rPr>
              <w:t> Структура и возможности нештатных аварийно-спасательных формирований</w:t>
            </w:r>
          </w:p>
          <w:p>
            <w:pPr>
              <w:jc w:val="both"/>
              <w:spacing w:after="0" w:line="240" w:lineRule="auto"/>
              <w:rPr>
                <w:sz w:val="24"/>
                <w:szCs w:val="24"/>
              </w:rPr>
            </w:pPr>
            <w:r>
              <w:rPr>
                <w:rFonts w:ascii="Times New Roman" w:hAnsi="Times New Roman" w:cs="Times New Roman"/>
                <w:color w:val="#000000"/>
                <w:sz w:val="24"/>
                <w:szCs w:val="24"/>
              </w:rPr>
              <w:t> Структура и возможности общественных аварийно-спасательных формирований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АЭРОМОБИЛЬНЫЕ ГРУППИРОВКИ МЧС РОССИИ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Предназначение и типовые задачи аэромобильных группировок</w:t>
            </w:r>
          </w:p>
          <w:p>
            <w:pPr>
              <w:jc w:val="both"/>
              <w:spacing w:after="0" w:line="240" w:lineRule="auto"/>
              <w:rPr>
                <w:sz w:val="24"/>
                <w:szCs w:val="24"/>
              </w:rPr>
            </w:pPr>
            <w:r>
              <w:rPr>
                <w:rFonts w:ascii="Times New Roman" w:hAnsi="Times New Roman" w:cs="Times New Roman"/>
                <w:color w:val="#000000"/>
                <w:sz w:val="24"/>
                <w:szCs w:val="24"/>
              </w:rPr>
              <w:t> Общие положения по применению аэромобильных группировок территориальных органов МЧС России в чрезвычайных ситуациях</w:t>
            </w:r>
          </w:p>
          <w:p>
            <w:pPr>
              <w:jc w:val="both"/>
              <w:spacing w:after="0" w:line="240" w:lineRule="auto"/>
              <w:rPr>
                <w:sz w:val="24"/>
                <w:szCs w:val="24"/>
              </w:rPr>
            </w:pPr>
            <w:r>
              <w:rPr>
                <w:rFonts w:ascii="Times New Roman" w:hAnsi="Times New Roman" w:cs="Times New Roman"/>
                <w:color w:val="#000000"/>
                <w:sz w:val="24"/>
                <w:szCs w:val="24"/>
              </w:rPr>
              <w:t> Авиационное обеспечение аэромобильных группировок МЧС России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АВИАЦИЯ И АВИАЦИОННО-СПАСАТЕЛЬНЫЕ ТЕХНОЛОГИИ МЧС РОССИИ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базирование и задачи авиации и авиационно-спасательных технологий МЧС России</w:t>
            </w:r>
          </w:p>
          <w:p>
            <w:pPr>
              <w:jc w:val="both"/>
              <w:spacing w:after="0" w:line="240" w:lineRule="auto"/>
              <w:rPr>
                <w:sz w:val="24"/>
                <w:szCs w:val="24"/>
              </w:rPr>
            </w:pPr>
            <w:r>
              <w:rPr>
                <w:rFonts w:ascii="Times New Roman" w:hAnsi="Times New Roman" w:cs="Times New Roman"/>
                <w:color w:val="#000000"/>
                <w:sz w:val="24"/>
                <w:szCs w:val="24"/>
              </w:rPr>
              <w:t> Применение авиации и авиационно-спасательных технологий в МЧС России</w:t>
            </w:r>
          </w:p>
          <w:p>
            <w:pPr>
              <w:jc w:val="both"/>
              <w:spacing w:after="0" w:line="240" w:lineRule="auto"/>
              <w:rPr>
                <w:sz w:val="24"/>
                <w:szCs w:val="24"/>
              </w:rPr>
            </w:pPr>
            <w:r>
              <w:rPr>
                <w:rFonts w:ascii="Times New Roman" w:hAnsi="Times New Roman" w:cs="Times New Roman"/>
                <w:color w:val="#000000"/>
                <w:sz w:val="24"/>
                <w:szCs w:val="24"/>
              </w:rPr>
              <w:t>  Руководство, координация деятельности, организация применения и управления подразделениями авиационных учреждений МЧС России</w:t>
            </w:r>
          </w:p>
          <w:p>
            <w:pPr>
              <w:jc w:val="both"/>
              <w:spacing w:after="0" w:line="240" w:lineRule="auto"/>
              <w:rPr>
                <w:sz w:val="24"/>
                <w:szCs w:val="24"/>
              </w:rPr>
            </w:pPr>
            <w:r>
              <w:rPr>
                <w:rFonts w:ascii="Times New Roman" w:hAnsi="Times New Roman" w:cs="Times New Roman"/>
                <w:color w:val="#000000"/>
                <w:sz w:val="24"/>
                <w:szCs w:val="24"/>
              </w:rPr>
              <w:t> Организация дежурства и применение дежурных сил авиационных учреждений МЧС России</w:t>
            </w:r>
          </w:p>
          <w:p>
            <w:pPr>
              <w:jc w:val="both"/>
              <w:spacing w:after="0" w:line="240" w:lineRule="auto"/>
              <w:rPr>
                <w:sz w:val="24"/>
                <w:szCs w:val="24"/>
              </w:rPr>
            </w:pPr>
            <w:r>
              <w:rPr>
                <w:rFonts w:ascii="Times New Roman" w:hAnsi="Times New Roman" w:cs="Times New Roman"/>
                <w:color w:val="#000000"/>
                <w:sz w:val="24"/>
                <w:szCs w:val="24"/>
              </w:rPr>
              <w:t> Планирование применения авиации и авиационно-спасательных технологий</w:t>
            </w:r>
          </w:p>
          <w:p>
            <w:pPr>
              <w:jc w:val="both"/>
              <w:spacing w:after="0" w:line="240" w:lineRule="auto"/>
              <w:rPr>
                <w:sz w:val="24"/>
                <w:szCs w:val="24"/>
              </w:rPr>
            </w:pPr>
            <w:r>
              <w:rPr>
                <w:rFonts w:ascii="Times New Roman" w:hAnsi="Times New Roman" w:cs="Times New Roman"/>
                <w:color w:val="#000000"/>
                <w:sz w:val="24"/>
                <w:szCs w:val="24"/>
              </w:rPr>
              <w:t> Применение беспилотных авиационных систем в МЧС России</w:t>
            </w:r>
          </w:p>
          <w:p>
            <w:pPr>
              <w:jc w:val="both"/>
              <w:spacing w:after="0" w:line="240" w:lineRule="auto"/>
              <w:rPr>
                <w:sz w:val="24"/>
                <w:szCs w:val="24"/>
              </w:rPr>
            </w:pPr>
            <w:r>
              <w:rPr>
                <w:rFonts w:ascii="Times New Roman" w:hAnsi="Times New Roman" w:cs="Times New Roman"/>
                <w:color w:val="#000000"/>
                <w:sz w:val="24"/>
                <w:szCs w:val="24"/>
              </w:rPr>
              <w:t> Особенности поисково-спасательных работ с использованием вертолета</w:t>
            </w:r>
          </w:p>
          <w:p>
            <w:pPr>
              <w:jc w:val="both"/>
              <w:spacing w:after="0" w:line="240" w:lineRule="auto"/>
              <w:rPr>
                <w:sz w:val="24"/>
                <w:szCs w:val="24"/>
              </w:rPr>
            </w:pPr>
            <w:r>
              <w:rPr>
                <w:rFonts w:ascii="Times New Roman" w:hAnsi="Times New Roman" w:cs="Times New Roman"/>
                <w:color w:val="#000000"/>
                <w:sz w:val="24"/>
                <w:szCs w:val="24"/>
              </w:rPr>
              <w:t> Особенности применения авиации МЧС России при тушении лесных пожаров</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ОПЕРАТИВНОГО (ЭКСТРЕННОГО) РЕАГИРОВАНИЯ И ПРОВЕДЕНИЯ АВАРИЙНО-СПАСАТЕЛЬНЫХ И ДРУГИХ НЕОТЛОЖНЫХ РАБОТ ПРИ ЛИКВИДАЦИИ ЧРЕЗВЫЧАЙНЫХ СИТУАЦИЙ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Права и обязанности специалистов оперативного (экстренного) реагирования, участвующих в ликвидации чрезвычайных ситуаций</w:t>
            </w:r>
          </w:p>
          <w:p>
            <w:pPr>
              <w:jc w:val="both"/>
              <w:spacing w:after="0" w:line="240" w:lineRule="auto"/>
              <w:rPr>
                <w:sz w:val="24"/>
                <w:szCs w:val="24"/>
              </w:rPr>
            </w:pPr>
            <w:r>
              <w:rPr>
                <w:rFonts w:ascii="Times New Roman" w:hAnsi="Times New Roman" w:cs="Times New Roman"/>
                <w:color w:val="#000000"/>
                <w:sz w:val="24"/>
                <w:szCs w:val="24"/>
              </w:rPr>
              <w:t> Организация мероприятий по готовности к оперативному (экстренному) реагированию на чрезвычайные ситуации</w:t>
            </w:r>
          </w:p>
          <w:p>
            <w:pPr>
              <w:jc w:val="both"/>
              <w:spacing w:after="0" w:line="240" w:lineRule="auto"/>
              <w:rPr>
                <w:sz w:val="24"/>
                <w:szCs w:val="24"/>
              </w:rPr>
            </w:pPr>
            <w:r>
              <w:rPr>
                <w:rFonts w:ascii="Times New Roman" w:hAnsi="Times New Roman" w:cs="Times New Roman"/>
                <w:color w:val="#000000"/>
                <w:sz w:val="24"/>
                <w:szCs w:val="24"/>
              </w:rPr>
              <w:t> Организация и проведение аварийно-спасательных и других неотложных работ</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ОХРАНА ТРУДА В ПОДРАЗДЕЛЕНИЯХ ПОЖАРНО-СПАСАТЕЛЬНОГО ГАРНИЗОНА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охраны труда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Государственная политика в области охраны труда</w:t>
            </w:r>
          </w:p>
          <w:p>
            <w:pPr>
              <w:jc w:val="both"/>
              <w:spacing w:after="0" w:line="240" w:lineRule="auto"/>
              <w:rPr>
                <w:sz w:val="24"/>
                <w:szCs w:val="24"/>
              </w:rPr>
            </w:pPr>
            <w:r>
              <w:rPr>
                <w:rFonts w:ascii="Times New Roman" w:hAnsi="Times New Roman" w:cs="Times New Roman"/>
                <w:color w:val="#000000"/>
                <w:sz w:val="24"/>
                <w:szCs w:val="24"/>
              </w:rPr>
              <w:t> Обязанности работодателя по обеспечению безопасных условий и охраны труда</w:t>
            </w:r>
          </w:p>
          <w:p>
            <w:pPr>
              <w:jc w:val="both"/>
              <w:spacing w:after="0" w:line="240" w:lineRule="auto"/>
              <w:rPr>
                <w:sz w:val="24"/>
                <w:szCs w:val="24"/>
              </w:rPr>
            </w:pPr>
            <w:r>
              <w:rPr>
                <w:rFonts w:ascii="Times New Roman" w:hAnsi="Times New Roman" w:cs="Times New Roman"/>
                <w:color w:val="#000000"/>
                <w:sz w:val="24"/>
                <w:szCs w:val="24"/>
              </w:rPr>
              <w:t> охраны труда в спасательных формированиях</w:t>
            </w:r>
          </w:p>
          <w:p>
            <w:pPr>
              <w:jc w:val="both"/>
              <w:spacing w:after="0" w:line="240" w:lineRule="auto"/>
              <w:rPr>
                <w:sz w:val="24"/>
                <w:szCs w:val="24"/>
              </w:rPr>
            </w:pPr>
            <w:r>
              <w:rPr>
                <w:rFonts w:ascii="Times New Roman" w:hAnsi="Times New Roman" w:cs="Times New Roman"/>
                <w:color w:val="#000000"/>
                <w:sz w:val="24"/>
                <w:szCs w:val="24"/>
              </w:rPr>
              <w:t> Требования охраны труда при проведении основных аварийно-спасательных работ</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Тема7. УПРАВЛЕНИЕ СИЛАМИ И СРЕДСТВАМИ ЛИКВИДАЦИИ ЧРЕЗВЫЧАЙНЫХ СИТУАЦИЙ ПРИ ПРОВЕДЕНИИ АВАРИЙНО- СПАСАТЕЛЬНЫХ И ДРУГИХ НЕОТЛОЖНЫХ РАБОТ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управления силами и средствами ликвидации чрезвычайных ситуаций при проведении аварийно-спасательных и других неотложных работ</w:t>
            </w:r>
          </w:p>
          <w:p>
            <w:pPr>
              <w:jc w:val="both"/>
              <w:spacing w:after="0" w:line="240" w:lineRule="auto"/>
              <w:rPr>
                <w:sz w:val="24"/>
                <w:szCs w:val="24"/>
              </w:rPr>
            </w:pPr>
            <w:r>
              <w:rPr>
                <w:rFonts w:ascii="Times New Roman" w:hAnsi="Times New Roman" w:cs="Times New Roman"/>
                <w:color w:val="#000000"/>
                <w:sz w:val="24"/>
                <w:szCs w:val="24"/>
              </w:rPr>
              <w:t> проведением аварийно-спасательных и других неотложных работ в ходе ликвидации чрезвычайных ситуаций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ВЫДВИЖЕНИЕ СИЛ РСЧС В ЗОНУ ЧРЕЗВЫЧАЙНОЙ СИТУАЦИИ И РАСПОЛОЖЕНИЕ ИХ НА МЕСТЕ</w:t>
            </w:r>
          </w:p>
        </w:tc>
      </w:tr>
      <w:tr>
        <w:trPr>
          <w:trHeight w:hRule="exact" w:val="655.91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выдвижения (следования) сил ликвидации чрезвычайных ситуаций</w:t>
            </w:r>
          </w:p>
          <w:p>
            <w:pPr>
              <w:jc w:val="both"/>
              <w:spacing w:after="0" w:line="240" w:lineRule="auto"/>
              <w:rPr>
                <w:sz w:val="24"/>
                <w:szCs w:val="24"/>
              </w:rPr>
            </w:pPr>
            <w:r>
              <w:rPr>
                <w:rFonts w:ascii="Times New Roman" w:hAnsi="Times New Roman" w:cs="Times New Roman"/>
                <w:color w:val="#000000"/>
                <w:sz w:val="24"/>
                <w:szCs w:val="24"/>
              </w:rPr>
              <w:t> Перевозка сил ликвидации чрезвычайных ситуаций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Расположение сил ликвидации чрезвычайных ситуаций на месте</w:t>
            </w: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«Система управления спасательными работами в зоне ЧС» / Сергиенко О.В..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http://www.iprbookshop.ru/96743.html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топографии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Вострокнутов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Супрун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Шевченко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978-5-534-00825-8.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https://urait.ru/bcode/450111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Каракеян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Никулина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https://urait.ru/bcode/469917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http://www.iprbookshop.ru/96744.html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76.68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333.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2022-2023_ФГОС3++2022_Бак-ЗФО-ГМУ(ПБЧС)(22)_plx_Система управления спасательными работами в зоне ЧС</dc:title>
  <dc:creator>FastReport.NET</dc:creator>
</cp:coreProperties>
</file>